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rPr>
          <w:b/>
        </w:rPr>
        <w:t xml:space="preserve">Owner Vacation Readiness Checklist</w:t>
      </w:r>
    </w:p>
    <w:p>
      <w:r>
        <w:rPr/>
        <w:t xml:space="preserve">Find the business-critical work that breaks when the owner is unavailable.</w:t>
      </w:r>
    </w:p>
    <w:p>
      <w:r>
        <w:rPr>
          <w:b/>
        </w:rPr>
        <w:t xml:space="preserve">OpsKit Library — editable operating template</w:t>
      </w:r>
    </w:p>
    <w:p>
      <w:pPr>
        <w:pStyle w:val="Heading2"/>
      </w:pPr>
      <w:r>
        <w:rPr>
          <w:b/>
        </w:rPr>
        <w:t xml:space="preserve">Readiness checks</w:t>
      </w:r>
    </w:p>
    <w:tbl>
      <w:tblPr>
        <w:tblStyle w:val="TableGrid"/>
        <w:tblW w:w="0" w:type="auto"/>
      </w:tblPr>
      <w:tr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Done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Item</w:t>
            </w:r>
          </w:p>
        </w:tc>
        <w:tc>
          <w:tcPr>
            <w:tcW w:w="2600" w:type="dxa"/>
            <w:shd w:fill="16322B"/>
          </w:tcPr>
          <w:p>
            <w:r>
              <w:rPr>
                <w:b/>
                <w:color w:val="FFFFFF"/>
              </w:rPr>
              <w:t xml:space="preserve">Owner / Notes</w:t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Backup can access payment processor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Backup knows urgent customer escalation path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Domain/DNS/hosting admin backup exists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Current client/vendor list is updated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Open issues are documented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Recurring payments and renewals are visible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  <w:tr>
        <w:tc>
          <w:tcPr>
            <w:tcW w:w="2600" w:type="dxa"/>
          </w:tcPr>
          <w:p>
            <w:r>
              <w:rPr/>
              <w:t xml:space="preserve">☐</w:t>
            </w:r>
          </w:p>
        </w:tc>
        <w:tc>
          <w:tcPr>
            <w:tcW w:w="2600" w:type="dxa"/>
          </w:tcPr>
          <w:p>
            <w:r>
              <w:rPr/>
              <w:t xml:space="preserve">Top three daily tasks have written instructions</w:t>
            </w:r>
          </w:p>
        </w:tc>
        <w:tc>
          <w:tcPr>
            <w:tcW w:w="2600" w:type="dxa"/>
          </w:tcPr>
          <w:p>
            <w:r>
              <w:rPr/>
              <w:t xml:space="preserve"/>
            </w:r>
          </w:p>
        </w:tc>
      </w:tr>
    </w:tbl>
    <w:p>
      <w:r>
        <w:rPr/>
        <w:t xml:space="preserve">© BezaCore Labs LLC / OpsKit Library. Internal business use permitted under the included license. These are operational templates, not legal, tax, HR, compliance, security, or financial advice.</w:t>
      </w:r>
    </w:p>
    <w:sectPr>
      <w:pgSz w:w="12240" w:h="15840"/>
      <w:pgMar w:top="720" w:right="720" w:bottom="720" w:left="720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">
    <w:abstractNumId w:val="0"/>
  </w:num>
</w:numbering>
</file>

<file path=word/styles.xml><?xml version="1.0" encoding="utf-8"?>
<w:styles xmlns:w="http://schemas.openxmlformats.org/wordprocessingml/2006/main">
  <w:style w:type="paragraph" w:styleId="Normal">
    <w:name w:val="Normal"/>
    <w:rPr>
      <w:sz w:val="22"/>
      <w:rFonts w:ascii="Aptos" w:hAnsi="Aptos"/>
    </w:rPr>
  </w:style>
  <w:style w:type="paragraph" w:styleId="Heading1">
    <w:name w:val="heading 1"/>
    <w:basedOn w:val="Normal"/>
    <w:next w:val="Normal"/>
    <w:rPr>
      <w:b/>
      <w:color w:val="16322B"/>
      <w:sz w:val="40"/>
    </w:rPr>
  </w:style>
  <w:style w:type="paragraph" w:styleId="Heading2">
    <w:name w:val="heading 2"/>
    <w:basedOn w:val="Normal"/>
    <w:next w:val="Normal"/>
    <w:rPr>
      <w:b/>
      <w:color w:val="16322B"/>
      <w:sz w:val="30"/>
    </w:rPr>
  </w:style>
  <w:style w:type="paragraph" w:styleId="Heading3">
    <w:name w:val="heading 3"/>
    <w:basedOn w:val="Normal"/>
    <w:next w:val="Normal"/>
    <w:rPr>
      <w:b/>
      <w:color w:val="7A5D17"/>
      <w:sz w:val="24"/>
    </w:rPr>
  </w:style>
  <w:style w:type="paragraph" w:styleId="ListParagraph">
    <w:name w:val="List Paragraph"/>
    <w:basedOn w:val="Normal"/>
  </w:style>
  <w:style w:type="table" w:styleId="TableGrid">
    <w:name w:val="Table Grid"/>
    <w:tblPr>
      <w:tblBorders>
        <w:top w:val="single" w:sz="4"/>
        <w:left w:val="single" w:sz="4"/>
        <w:bottom w:val="single" w:sz="4"/>
        <w:right w:val="single" w:sz="4"/>
        <w:insideH w:val="single" w:sz="4"/>
        <w:insideV w:val="single" w:sz="4"/>
      </w:tblBorders>
    </w:tbl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Numbering" Type="http://schemas.openxmlformats.org/officeDocument/2006/relationships/numbering" Target="numbering.xml"/></Relationships>
</file>