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rPr>
          <w:b/>
        </w:rPr>
        <w:t xml:space="preserve">Access and Vendor Inventory</w:t>
      </w:r>
    </w:p>
    <w:p>
      <w:r>
        <w:rPr/>
        <w:t xml:space="preserve">A structured worksheet for finding every vendor, subscription, account, domain, and admin login that can break operations.</w:t>
      </w:r>
    </w:p>
    <w:p>
      <w:r>
        <w:rPr>
          <w:b/>
        </w:rPr>
        <w:t xml:space="preserve">OpsKit Library — editable operating template</w:t>
      </w:r>
    </w:p>
    <w:p>
      <w:pPr>
        <w:pStyle w:val="Heading2"/>
      </w:pPr>
      <w:r>
        <w:rPr>
          <w:b/>
        </w:rPr>
        <w:t xml:space="preserve">Inventory instructions</w:t>
      </w:r>
    </w:p>
    <w:tbl>
      <w:tblPr>
        <w:tblStyle w:val="TableGrid"/>
        <w:tblW w:w="0" w:type="auto"/>
      </w:tblPr>
      <w:tr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Use this note</w:t>
            </w:r>
          </w:p>
        </w:tc>
      </w:tr>
      <w:tr>
        <w:tc>
          <w:tcPr>
            <w:tcW w:w="2600" w:type="dxa"/>
          </w:tcPr>
          <w:p>
            <w:r>
              <w:rPr/>
              <w:t xml:space="preserve">Do not write raw passwords here. Record vault location, owner, recovery path, renewal date, and business impact.</w:t>
            </w:r>
          </w:p>
        </w:tc>
      </w:tr>
    </w:tbl>
    <w:p>
      <w:pPr>
        <w:pStyle w:val="Heading2"/>
      </w:pPr>
      <w:r>
        <w:rPr>
          <w:b/>
        </w:rPr>
        <w:t xml:space="preserve">Account inventory</w:t>
      </w:r>
    </w:p>
    <w:tbl>
      <w:tblPr>
        <w:tblStyle w:val="TableGrid"/>
        <w:tblW w:w="0" w:type="auto"/>
      </w:tblPr>
      <w:tr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System/vendor</w:t>
            </w:r>
          </w:p>
        </w:tc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Purpose</w:t>
            </w:r>
          </w:p>
        </w:tc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Admin owner</w:t>
            </w:r>
          </w:p>
        </w:tc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Backup admin</w:t>
            </w:r>
          </w:p>
        </w:tc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Renewal date</w:t>
            </w:r>
          </w:p>
        </w:tc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Recovery method</w:t>
            </w:r>
          </w:p>
        </w:tc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Impact if lost</w:t>
            </w:r>
          </w:p>
        </w:tc>
      </w:tr>
      <w:tr>
        <w:tc>
          <w:tcPr>
            <w:tcW w:w="2600" w:type="dxa"/>
          </w:tcPr>
          <w:p>
            <w:r>
              <w:rPr/>
              <w:t xml:space="preserve">Domain registrar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DNS/hosting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Email/workspace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Payment processor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</w:tbl>
    <w:p>
      <w:pPr>
        <w:pStyle w:val="Heading2"/>
      </w:pPr>
      <w:r>
        <w:rPr>
          <w:b/>
        </w:rPr>
        <w:t xml:space="preserve">Cleanup decisions</w:t>
      </w:r>
    </w:p>
    <w:tbl>
      <w:tblPr>
        <w:tblStyle w:val="TableGrid"/>
        <w:tblW w:w="0" w:type="auto"/>
      </w:tblPr>
      <w:tr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Done</w:t>
            </w:r>
          </w:p>
        </w:tc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Item</w:t>
            </w:r>
          </w:p>
        </w:tc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Owner / Notes</w:t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Remove old users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Add backup admin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Move password to vault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Confirm recovery email/phone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Document renewal date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Cancel unused subscription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</w:tbl>
    <w:p>
      <w:r>
        <w:rPr/>
        <w:t xml:space="preserve">© BezaCore Labs LLC / OpsKit Library. Internal business use permitted under the included license. These are operational templates, not legal, tax, HR, compliance, security, or financial advice.</w:t>
      </w:r>
    </w:p>
    <w:sectPr>
      <w:pgSz w:w="12240" w:h="15840"/>
      <w:pgMar w:top="720" w:right="720" w:bottom="720" w:left="720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">
    <w:abstractNumId w:val="0"/>
  </w:num>
</w:numbering>
</file>

<file path=word/styles.xml><?xml version="1.0" encoding="utf-8"?>
<w:styles xmlns:w="http://schemas.openxmlformats.org/wordprocessingml/2006/main">
  <w:style w:type="paragraph" w:styleId="Normal">
    <w:name w:val="Normal"/>
    <w:rPr>
      <w:sz w:val="22"/>
      <w:rFonts w:ascii="Aptos" w:hAnsi="Aptos"/>
    </w:rPr>
  </w:style>
  <w:style w:type="paragraph" w:styleId="Heading1">
    <w:name w:val="heading 1"/>
    <w:basedOn w:val="Normal"/>
    <w:next w:val="Normal"/>
    <w:rPr>
      <w:b/>
      <w:color w:val="16322B"/>
      <w:sz w:val="40"/>
    </w:rPr>
  </w:style>
  <w:style w:type="paragraph" w:styleId="Heading2">
    <w:name w:val="heading 2"/>
    <w:basedOn w:val="Normal"/>
    <w:next w:val="Normal"/>
    <w:rPr>
      <w:b/>
      <w:color w:val="16322B"/>
      <w:sz w:val="30"/>
    </w:rPr>
  </w:style>
  <w:style w:type="paragraph" w:styleId="Heading3">
    <w:name w:val="heading 3"/>
    <w:basedOn w:val="Normal"/>
    <w:next w:val="Normal"/>
    <w:rPr>
      <w:b/>
      <w:color w:val="7A5D17"/>
      <w:sz w:val="24"/>
    </w:rPr>
  </w:style>
  <w:style w:type="paragraph" w:styleId="ListParagraph">
    <w:name w:val="List Paragraph"/>
    <w:basedOn w:val="Normal"/>
  </w:style>
  <w:style w:type="table" w:styleId="TableGrid">
    <w:name w:val="Table Grid"/>
    <w:tblPr>
      <w:tblBorders>
        <w:top w:val="single" w:sz="4"/>
        <w:left w:val="single" w:sz="4"/>
        <w:bottom w:val="single" w:sz="4"/>
        <w:right w:val="single" w:sz="4"/>
        <w:insideH w:val="single" w:sz="4"/>
        <w:insideV w:val="single" w:sz="4"/>
      </w:tblBorders>
    </w:tbl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Numbering" Type="http://schemas.openxmlformats.org/officeDocument/2006/relationships/numbering" Target="numbering.xml"/></Relationships>
</file>